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943600" cy="3289300"/>
            <wp:effectExtent b="0" l="0" r="0" t="0"/>
            <wp:docPr descr="Decorative double Helix" id="6" name="image9.jpg"/>
            <a:graphic>
              <a:graphicData uri="http://schemas.openxmlformats.org/drawingml/2006/picture">
                <pic:pic>
                  <pic:nvPicPr>
                    <pic:cNvPr descr="Decorative double Helix" id="0" name="image9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89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ab/>
      </w:r>
    </w:p>
    <w:p w:rsidR="00000000" w:rsidDel="00000000" w:rsidP="00000000" w:rsidRDefault="00000000" w:rsidRPr="00000000" w14:paraId="00000002">
      <w:pPr>
        <w:pStyle w:val="Heading1"/>
        <w:rPr/>
      </w:pPr>
      <w:bookmarkStart w:colFirst="0" w:colLast="0" w:name="_gjdgxs" w:id="0"/>
      <w:bookmarkEnd w:id="0"/>
      <w:r w:rsidDel="00000000" w:rsidR="00000000" w:rsidRPr="00000000">
        <w:rPr>
          <w:rtl w:val="0"/>
        </w:rPr>
        <w:t xml:space="preserve">Testing!!</w:t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  <w:t xml:space="preserve">Your forked repo is set up as an AEM Project and you are ready to start developing.</w:t>
        <w:br w:type="textWrapping"/>
        <w:t xml:space="preserve">The content you are looking at is served from this </w:t>
      </w:r>
      <w:hyperlink r:id="rId7">
        <w:r w:rsidDel="00000000" w:rsidR="00000000" w:rsidRPr="00000000">
          <w:rPr>
            <w:color w:val="1155cc"/>
            <w:u w:val="single"/>
            <w:rtl w:val="0"/>
          </w:rPr>
          <w:t xml:space="preserve">Google Drive</w:t>
        </w:r>
      </w:hyperlink>
      <w:r w:rsidDel="00000000" w:rsidR="00000000" w:rsidRPr="00000000">
        <w:rPr>
          <w:rtl w:val="0"/>
        </w:rPr>
        <w:br w:type="textWrapping"/>
        <w:br w:type="textWrapping"/>
        <w:t xml:space="preserve">Adjust the </w:t>
      </w:r>
      <w:r w:rsidDel="00000000" w:rsidR="00000000" w:rsidRPr="00000000">
        <w:rPr>
          <w:rFonts w:ascii="Courier New" w:cs="Courier New" w:eastAsia="Courier New" w:hAnsi="Courier New"/>
          <w:rtl w:val="0"/>
        </w:rPr>
        <w:t xml:space="preserve">fstab.yaml</w:t>
      </w:r>
      <w:r w:rsidDel="00000000" w:rsidR="00000000" w:rsidRPr="00000000">
        <w:rPr>
          <w:rtl w:val="0"/>
        </w:rPr>
        <w:t xml:space="preserve"> to point to a folder either in your sharepoint or your gdrive that you shared with AEM. See the full tutorial here:</w:t>
        <w:br w:type="textWrapping"/>
        <w:br w:type="textWrapping"/>
      </w:r>
      <w:hyperlink r:id="rId8">
        <w:r w:rsidDel="00000000" w:rsidR="00000000" w:rsidRPr="00000000">
          <w:rPr>
            <w:color w:val="1155cc"/>
            <w:u w:val="single"/>
            <w:rtl w:val="0"/>
          </w:rPr>
          <w:t xml:space="preserve">https://www.aem.live/tutorial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2"/>
        <w:widowControl w:val="0"/>
        <w:spacing w:line="240" w:lineRule="auto"/>
        <w:rPr/>
      </w:pPr>
      <w:bookmarkStart w:colFirst="0" w:colLast="0" w:name="_30j0zll" w:id="1"/>
      <w:bookmarkEnd w:id="1"/>
      <w:r w:rsidDel="00000000" w:rsidR="00000000" w:rsidRPr="00000000">
        <w:rPr>
          <w:rtl w:val="0"/>
        </w:rPr>
        <w:t xml:space="preserve">This is another headline here for more content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tbl>
      <w:tblPr>
        <w:tblStyle w:val="Table1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680"/>
        <w:gridCol w:w="4680"/>
        <w:tblGridChange w:id="0">
          <w:tblGrid>
            <w:gridCol w:w="4680"/>
            <w:gridCol w:w="4680"/>
          </w:tblGrid>
        </w:tblGridChange>
      </w:tblGrid>
      <w:tr>
        <w:trPr>
          <w:cantSplit w:val="0"/>
          <w:trHeight w:val="420" w:hRule="atLeast"/>
          <w:tblHeader w:val="0"/>
        </w:trPr>
        <w:tc>
          <w:tcPr>
            <w:gridSpan w:val="2"/>
            <w:shd w:fill="b6d7a8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Columns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Columns block</w:t>
            </w:r>
          </w:p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E">
            <w:pPr>
              <w:widowControl w:val="0"/>
              <w:numPr>
                <w:ilvl w:val="0"/>
                <w:numId w:val="1"/>
              </w:numPr>
              <w:spacing w:line="240" w:lineRule="auto"/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One</w:t>
            </w:r>
          </w:p>
          <w:p w:rsidR="00000000" w:rsidDel="00000000" w:rsidP="00000000" w:rsidRDefault="00000000" w:rsidRPr="00000000" w14:paraId="0000000F">
            <w:pPr>
              <w:widowControl w:val="0"/>
              <w:numPr>
                <w:ilvl w:val="0"/>
                <w:numId w:val="1"/>
              </w:numPr>
              <w:spacing w:line="240" w:lineRule="auto"/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Two</w:t>
            </w:r>
          </w:p>
          <w:p w:rsidR="00000000" w:rsidDel="00000000" w:rsidP="00000000" w:rsidRDefault="00000000" w:rsidRPr="00000000" w14:paraId="00000010">
            <w:pPr>
              <w:widowControl w:val="0"/>
              <w:numPr>
                <w:ilvl w:val="0"/>
                <w:numId w:val="1"/>
              </w:numPr>
              <w:spacing w:line="240" w:lineRule="auto"/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Three</w:t>
            </w:r>
          </w:p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rPr/>
            </w:pPr>
            <w:hyperlink r:id="rId9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Live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widowControl w:val="0"/>
              <w:spacing w:line="240" w:lineRule="auto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838450" cy="1892300"/>
                  <wp:effectExtent b="0" l="0" r="0" t="0"/>
                  <wp:docPr descr="green double Helix" id="8" name="image10.png"/>
                  <a:graphic>
                    <a:graphicData uri="http://schemas.openxmlformats.org/drawingml/2006/picture">
                      <pic:pic>
                        <pic:nvPicPr>
                          <pic:cNvPr descr="green double Helix" id="0" name="image10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450" cy="18923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pStyle w:val="Heading2"/>
              <w:widowControl w:val="0"/>
              <w:spacing w:line="240" w:lineRule="auto"/>
              <w:rPr/>
            </w:pPr>
            <w:bookmarkStart w:colFirst="0" w:colLast="0" w:name="_1fob9te" w:id="2"/>
            <w:bookmarkEnd w:id="2"/>
            <w:r w:rsidDel="00000000" w:rsidR="00000000" w:rsidRPr="00000000">
              <w:rPr/>
              <w:drawing>
                <wp:inline distB="114300" distT="114300" distL="114300" distR="114300">
                  <wp:extent cx="2838450" cy="2070100"/>
                  <wp:effectExtent b="0" l="0" r="0" t="0"/>
                  <wp:docPr descr="Yellow Double Helix" id="7" name="image8.png"/>
                  <a:graphic>
                    <a:graphicData uri="http://schemas.openxmlformats.org/drawingml/2006/picture">
                      <pic:pic>
                        <pic:nvPicPr>
                          <pic:cNvPr descr="Yellow Double Helix" id="0" name="image8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450" cy="2070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Or you can just view the preview</w:t>
            </w:r>
          </w:p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i w:val="1"/>
              </w:rPr>
            </w:pPr>
            <w:hyperlink r:id="rId12">
              <w:r w:rsidDel="00000000" w:rsidR="00000000" w:rsidRPr="00000000">
                <w:rPr>
                  <w:i w:val="1"/>
                  <w:color w:val="1155cc"/>
                  <w:u w:val="single"/>
                  <w:rtl w:val="0"/>
                </w:rPr>
                <w:t xml:space="preserve">Preview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---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pStyle w:val="Heading2"/>
        <w:rPr/>
      </w:pPr>
      <w:bookmarkStart w:colFirst="0" w:colLast="0" w:name="_3znysh7" w:id="3"/>
      <w:bookmarkEnd w:id="3"/>
      <w:r w:rsidDel="00000000" w:rsidR="00000000" w:rsidRPr="00000000">
        <w:rPr>
          <w:rtl w:val="0"/>
        </w:rPr>
        <w:t xml:space="preserve">Boilerplate Highlights?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line="240" w:lineRule="auto"/>
        <w:rPr/>
      </w:pPr>
      <w:r w:rsidDel="00000000" w:rsidR="00000000" w:rsidRPr="00000000">
        <w:rPr>
          <w:rtl w:val="0"/>
        </w:rPr>
        <w:t xml:space="preserve">Find some of our favorite staff picks below:</w:t>
      </w:r>
    </w:p>
    <w:p w:rsidR="00000000" w:rsidDel="00000000" w:rsidP="00000000" w:rsidRDefault="00000000" w:rsidRPr="00000000" w14:paraId="00000025">
      <w:pPr>
        <w:widowControl w:val="0"/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widowControl w:val="0"/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widowControl w:val="0"/>
        <w:spacing w:line="240" w:lineRule="auto"/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160"/>
        <w:gridCol w:w="7200"/>
        <w:tblGridChange w:id="0">
          <w:tblGrid>
            <w:gridCol w:w="2160"/>
            <w:gridCol w:w="7200"/>
          </w:tblGrid>
        </w:tblGridChange>
      </w:tblGrid>
      <w:tr>
        <w:trPr>
          <w:cantSplit w:val="0"/>
          <w:trHeight w:val="42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Cards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238250" cy="698500"/>
                  <wp:effectExtent b="0" l="0" r="0" t="0"/>
                  <wp:docPr descr="A fast-moving Tunnel " id="10" name="image7.jpg"/>
                  <a:graphic>
                    <a:graphicData uri="http://schemas.openxmlformats.org/drawingml/2006/picture">
                      <pic:pic>
                        <pic:nvPicPr>
                          <pic:cNvPr descr="A fast-moving Tunnel " id="0" name="image7.jp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698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Unmatched speed</w:t>
            </w:r>
          </w:p>
          <w:p w:rsidR="00000000" w:rsidDel="00000000" w:rsidP="00000000" w:rsidRDefault="00000000" w:rsidRPr="00000000" w14:paraId="0000002C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AEM is the fastest way to publish, create, and serve websites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widowControl w:val="0"/>
              <w:spacing w:line="240" w:lineRule="auto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238250" cy="850900"/>
                  <wp:effectExtent b="0" l="0" r="0" t="0"/>
                  <wp:docPr descr="An iceberg" id="9" name="image5.jpg"/>
                  <a:graphic>
                    <a:graphicData uri="http://schemas.openxmlformats.org/drawingml/2006/picture">
                      <pic:pic>
                        <pic:nvPicPr>
                          <pic:cNvPr descr="An iceberg" id="0" name="image5.jp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850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Content at scale</w:t>
            </w:r>
          </w:p>
          <w:p w:rsidR="00000000" w:rsidDel="00000000" w:rsidP="00000000" w:rsidRDefault="00000000" w:rsidRPr="00000000" w14:paraId="0000002F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AEM allows you to publish more content in shorter time with smaller teams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widowControl w:val="0"/>
              <w:spacing w:line="240" w:lineRule="auto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238250" cy="685800"/>
                  <wp:effectExtent b="0" l="0" r="0" t="0"/>
                  <wp:docPr descr="Doors with light in the dark" id="2" name="image2.jpg"/>
                  <a:graphic>
                    <a:graphicData uri="http://schemas.openxmlformats.org/drawingml/2006/picture">
                      <pic:pic>
                        <pic:nvPicPr>
                          <pic:cNvPr descr="Doors with light in the dark" id="0" name="image2.jp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685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Uncertainty eliminated</w:t>
            </w:r>
          </w:p>
          <w:p w:rsidR="00000000" w:rsidDel="00000000" w:rsidP="00000000" w:rsidRDefault="00000000" w:rsidRPr="00000000" w14:paraId="00000032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Preview content at 100% fidelity, get predictable content velocity, and shorten project durations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widowControl w:val="0"/>
              <w:spacing w:line="240" w:lineRule="auto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238250" cy="812800"/>
                  <wp:effectExtent b="0" l="0" r="0" t="0"/>
                  <wp:docPr descr="A group of people around a Table" id="1" name="image3.jpg"/>
                  <a:graphic>
                    <a:graphicData uri="http://schemas.openxmlformats.org/drawingml/2006/picture">
                      <pic:pic>
                        <pic:nvPicPr>
                          <pic:cNvPr descr="A group of people around a Table" id="0" name="image3.jp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812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Widen the talent pool</w:t>
            </w:r>
          </w:p>
          <w:p w:rsidR="00000000" w:rsidDel="00000000" w:rsidP="00000000" w:rsidRDefault="00000000" w:rsidRPr="00000000" w14:paraId="00000035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Authors on AEM use Microsoft Word, Excel or Google Docs and need no training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widowControl w:val="0"/>
              <w:spacing w:line="240" w:lineRule="auto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238250" cy="825500"/>
                  <wp:effectExtent b="0" l="0" r="0" t="0"/>
                  <wp:docPr descr="HTML code in a code editor" id="4" name="image6.jpg"/>
                  <a:graphic>
                    <a:graphicData uri="http://schemas.openxmlformats.org/drawingml/2006/picture">
                      <pic:pic>
                        <pic:nvPicPr>
                          <pic:cNvPr descr="HTML code in a code editor" id="0" name="image6.jp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825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The low-code way to developer productivity</w:t>
            </w:r>
          </w:p>
          <w:p w:rsidR="00000000" w:rsidDel="00000000" w:rsidP="00000000" w:rsidRDefault="00000000" w:rsidRPr="00000000" w14:paraId="00000038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Say goodbye to complex APIs spanning multiple languages. Anyone with a little bit of HTML, CSS, and JS can build a site on AEM.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widowControl w:val="0"/>
              <w:spacing w:line="240" w:lineRule="auto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238250" cy="825500"/>
                  <wp:effectExtent b="0" l="0" r="0" t="0"/>
                  <wp:docPr descr="A rocket and a headless suit" id="3" name="image1.jpg"/>
                  <a:graphic>
                    <a:graphicData uri="http://schemas.openxmlformats.org/drawingml/2006/picture">
                      <pic:pic>
                        <pic:nvPicPr>
                          <pic:cNvPr descr="A rocket and a headless suit" id="0" name="image1.jpg"/>
                          <pic:cNvPicPr preferRelativeResize="0"/>
                        </pic:nvPicPr>
                        <pic:blipFill>
                          <a:blip r:embed="rId1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825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Headless is here</w:t>
            </w:r>
          </w:p>
          <w:p w:rsidR="00000000" w:rsidDel="00000000" w:rsidP="00000000" w:rsidRDefault="00000000" w:rsidRPr="00000000" w14:paraId="0000003B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Go directly from Microsoft Excel or Google Sheets to the web in mere seconds. Sanitize and collect form data at extreme scale with AEM Forms.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widowControl w:val="0"/>
              <w:spacing w:line="240" w:lineRule="auto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1238250" cy="863600"/>
                  <wp:effectExtent b="0" l="0" r="0" t="0"/>
                  <wp:docPr descr="A dial with a hand on it" id="5" name="image4.jpg"/>
                  <a:graphic>
                    <a:graphicData uri="http://schemas.openxmlformats.org/drawingml/2006/picture">
                      <pic:pic>
                        <pic:nvPicPr>
                          <pic:cNvPr descr="A dial with a hand on it" id="0" name="image4.jp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863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spacing w:line="240" w:lineRule="auto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Peak performance</w:t>
            </w:r>
          </w:p>
          <w:p w:rsidR="00000000" w:rsidDel="00000000" w:rsidP="00000000" w:rsidRDefault="00000000" w:rsidRPr="00000000" w14:paraId="0000003E">
            <w:pPr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Use AEM's serverless architecture to meet any traffic need. Use AEM's PageSpeed Insights Github action to evaluate every Pull-Request for Lighthouse Score.</w:t>
            </w:r>
          </w:p>
        </w:tc>
      </w:tr>
    </w:tbl>
    <w:p w:rsidR="00000000" w:rsidDel="00000000" w:rsidP="00000000" w:rsidRDefault="00000000" w:rsidRPr="00000000" w14:paraId="0000003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680"/>
        <w:gridCol w:w="4680"/>
        <w:tblGridChange w:id="0">
          <w:tblGrid>
            <w:gridCol w:w="4680"/>
            <w:gridCol w:w="4680"/>
          </w:tblGrid>
        </w:tblGridChange>
      </w:tblGrid>
      <w:tr>
        <w:trPr>
          <w:cantSplit w:val="0"/>
          <w:trHeight w:val="420" w:hRule="atLeast"/>
          <w:tblHeader w:val="0"/>
        </w:trPr>
        <w:tc>
          <w:tcPr>
            <w:gridSpan w:val="2"/>
            <w:shd w:fill="fce5cd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Section Metadata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Style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highlight</w:t>
            </w:r>
          </w:p>
        </w:tc>
      </w:tr>
    </w:tbl>
    <w:p w:rsidR="00000000" w:rsidDel="00000000" w:rsidP="00000000" w:rsidRDefault="00000000" w:rsidRPr="00000000" w14:paraId="00000046">
      <w:pPr>
        <w:widowControl w:val="0"/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rPr/>
      </w:pPr>
      <w:r w:rsidDel="00000000" w:rsidR="00000000" w:rsidRPr="00000000">
        <w:rPr>
          <w:rtl w:val="0"/>
        </w:rPr>
        <w:t xml:space="preserve">---</w:t>
      </w:r>
    </w:p>
    <w:p w:rsidR="00000000" w:rsidDel="00000000" w:rsidP="00000000" w:rsidRDefault="00000000" w:rsidRPr="00000000" w14:paraId="00000048">
      <w:pPr>
        <w:rPr/>
      </w:pPr>
      <w:r w:rsidDel="00000000" w:rsidR="00000000" w:rsidRPr="00000000">
        <w:rPr>
          <w:rtl w:val="0"/>
        </w:rPr>
      </w:r>
    </w:p>
    <w:tbl>
      <w:tblPr>
        <w:tblStyle w:val="Table4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680"/>
        <w:gridCol w:w="4680"/>
        <w:tblGridChange w:id="0">
          <w:tblGrid>
            <w:gridCol w:w="4680"/>
            <w:gridCol w:w="4680"/>
          </w:tblGrid>
        </w:tblGridChange>
      </w:tblGrid>
      <w:tr>
        <w:trPr>
          <w:cantSplit w:val="0"/>
          <w:trHeight w:val="420" w:hRule="atLeast"/>
          <w:tblHeader w:val="0"/>
        </w:trPr>
        <w:tc>
          <w:tcPr>
            <w:gridSpan w:val="2"/>
            <w:shd w:fill="d9d9d9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Metadata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Title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Home | AEM Boilerplate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Description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widowControl w:val="0"/>
              <w:spacing w:line="240" w:lineRule="auto"/>
              <w:rPr/>
            </w:pPr>
            <w:r w:rsidDel="00000000" w:rsidR="00000000" w:rsidRPr="00000000">
              <w:rPr>
                <w:rtl w:val="0"/>
              </w:rPr>
              <w:t xml:space="preserve">Use this template repository as the starting point for new AEM projects.</w:t>
            </w:r>
          </w:p>
        </w:tc>
      </w:tr>
    </w:tbl>
    <w:p w:rsidR="00000000" w:rsidDel="00000000" w:rsidP="00000000" w:rsidRDefault="00000000" w:rsidRPr="00000000" w14:paraId="0000004F">
      <w:pPr>
        <w:rPr/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Courier New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8.png"/><Relationship Id="rId10" Type="http://schemas.openxmlformats.org/officeDocument/2006/relationships/image" Target="media/image10.png"/><Relationship Id="rId13" Type="http://schemas.openxmlformats.org/officeDocument/2006/relationships/image" Target="media/image7.jpg"/><Relationship Id="rId12" Type="http://schemas.openxmlformats.org/officeDocument/2006/relationships/hyperlink" Target="https://main--aem-boilerplate--adobe.hlx.page/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main--aem-boilerplate--adobe.hlx.live/" TargetMode="External"/><Relationship Id="rId15" Type="http://schemas.openxmlformats.org/officeDocument/2006/relationships/image" Target="media/image2.jpg"/><Relationship Id="rId14" Type="http://schemas.openxmlformats.org/officeDocument/2006/relationships/image" Target="media/image5.jpg"/><Relationship Id="rId17" Type="http://schemas.openxmlformats.org/officeDocument/2006/relationships/image" Target="media/image6.jpg"/><Relationship Id="rId16" Type="http://schemas.openxmlformats.org/officeDocument/2006/relationships/image" Target="media/image3.jpg"/><Relationship Id="rId5" Type="http://schemas.openxmlformats.org/officeDocument/2006/relationships/styles" Target="styles.xml"/><Relationship Id="rId19" Type="http://schemas.openxmlformats.org/officeDocument/2006/relationships/image" Target="media/image4.jpg"/><Relationship Id="rId6" Type="http://schemas.openxmlformats.org/officeDocument/2006/relationships/image" Target="media/image9.jpg"/><Relationship Id="rId18" Type="http://schemas.openxmlformats.org/officeDocument/2006/relationships/image" Target="media/image1.jpg"/><Relationship Id="rId7" Type="http://schemas.openxmlformats.org/officeDocument/2006/relationships/hyperlink" Target="https://drive.google.com/drive/folders/1MGzOt7ubUh3gu7zhZIPb7R7dyRzG371j?usp=sharing" TargetMode="External"/><Relationship Id="rId8" Type="http://schemas.openxmlformats.org/officeDocument/2006/relationships/hyperlink" Target="https://bit.ly/3aImqU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