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Modelo: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documentação do processo de higiene de dados do Adobe Marketo Engage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Consulte este modelo para documentar os elementos críticos para sua organização.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Finalidade e escopo: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Finalidade: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explique os objetivos da política de higiene de dados, como melhorar a precisão dos dados e aprimorar as operações comerciais.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Escopo: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defina a quais equipes e sistemas a política se aplica, incluindo Marketo Engage, CRM e outras plataformas relevantes.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Links relevantes: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Programas de higiene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para Programas de higiene de dados no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Campanhas inteligentes: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para Campanhas inteligentes no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Relatórios: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para Relatórios de qualidade de dados no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Ferramentas de gerenciamento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para Ferramentas de gerenciamento de dados no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Diretrizes para entrada de dados: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Requisitos de campo: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especifique quais campos são obrigatórios e quais são opcionais.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Formatos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forneça diretrizes para formatos de dados corretos (por exemplo, data, número de telefone, email).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Validação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descreva as etapas para validar dados antes da entrada.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Procedimentos de limpeza de dados: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Gerenciamento de duplicados: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descreva métodos para identificar e lidar com registros duplicados.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Tratamento inconsistente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explique como lidar com inconsistências de dados.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Enriquecimento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detalhe o processo para enriquecimento de dados com informações adicionais.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Métricas de qualidade de dados: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Indicadores-chave de desempenho (KPIs):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defina métricas para medir a qualidade dos dados.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Auditorias regulares: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agende e documente auditorias regulares de dados.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Funções e responsabilidades de governança de dados: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Administradores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identifique quem é responsável pela supervisão da qualidade dos dados.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Funções da equipe: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defina claramente as funções e responsabilidades de cada equipe envolvida na entrada e gerenciamento de dados.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Treinamento e integração: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Treinamento inicial: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descreva as sessões de treinamento iniciais para novos membros da equipe.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Treinamento contínuo: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descreva a frequência e o formato do treinamento contínuo.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Segurança e privacidade de dados: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Conformidade: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garanta que a política esteja em conformidade com os regulamentos de proteção de dados (por exemplo, GDPR,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Controles de acesso: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defina quem tem acesso aos dados e os níveis de acesso.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Criptografia de dados: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especifique o uso de criptografia para dados confidenciais.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Integração e sincronização de dados: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Frequência de sincronização: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aplicável somente a integrações de CRM personalizadas.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Determine com que frequência os dados devem ser sincronizados.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O conector nativo sincroniza automaticamente em intervalos ao longo do dia.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Regras de sincronização: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documente as regras e condições para sincronização de dados.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Tratamento de erros:</w:t>
      </w:r>
      <w:r>
        <w:rPr>
          <w:color w:val="000000" w:themeColor="text1"/>
          <w:rFonts w:ascii="Helvetica" w:hAnsi="Helvetica"/>
        </w:rPr>
        <w:t xml:space="preserve"> </w:t>
      </w:r>
      <w:r>
        <w:t xml:space="preserve">descreva o processo para o administrador do Marketo Engage ou do CRM lidar com erros de sincronização.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Ferramentas e recursos: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Ferramentas de software: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liste as ferramentas e os recursos usados ​​para higiene de dados.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Materiais de treinamento: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forneça links para materiais de treinamento e guias do usuário.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Feedback e melhoria contínua: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Mecanismo de feedback: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estabeleça um processo para que os membros da equipe forneçam feedback.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Atualizações de política: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Agende revisões e atualizações regulares da política.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Exemplo de links relevantes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Programas de higiene de dados no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[Insira o(s) link(s) relevante(s)]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Campanhas inteligentes no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[Insira o(s) link(s) relevante(s)]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Relatórios de qualidade de dados no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[Insira o(s) link(s) relevante(s)]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Ferramentas de gerenciamento de dados no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[Insira o(s) link(s) relevante(s)]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