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Modello: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documentazione dei processi di pulizia dei dati per Adobe Marketo Engage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Utilizza questo modello per documentare gli aspetti critici per la tua organizzazione.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Scopo e ambito: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Scopo: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spiega gli obiettivi della politica di pulizia dei dati, ad esempio migliorare l’accuratezza dei dati e ottimizzare le attività commerciali.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Ambito: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i team e i sistemi interessati dalla politica, tra cui Marketo Engage, il sistema CRM e altre piattaforme pertinenti.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Collegamenti pertinenti: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Programmi di pulizia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[collegamento ai programmi di pulizia dei dati in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Campagne avanzate: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[collegamento alle campagne avanzate in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[collegamento ai rapporti sulla qualità dei dati nel sistema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Strumenti per la gestione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[collegamento agli strumenti per la gestione dei dati nel sistema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Linee guida per l’immissione di dati: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Requisiti per i campi: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specifica quali campi sono obbligatori e quali sono facoltativi.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Formati di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fornisci linee guida sui formati corretti per i dati (ad es. per date, numeri di telefono, e-mail).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Convalida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elenca i passaggi da seguire per convalidare i dati prima di immetterli.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Procedure per la pulizia dei dati: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Gestione dei duplicati: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descrivi i metodi da utilizzare per individuare e gestire i record duplicati.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Gestione dei dati incoerenti: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spiega come affrontare eventuali incoerenze nei dati.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Arricchimento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descrivi il processo da seguire per arricchire i dati con informazioni aggiuntive.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Metriche per la qualità dei dati: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Indicatori chiave delle prestazioni (KPI):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le metriche con cui misurare la qualità dei dati.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Audit a cadenza regolare: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pianifica e documenta gli audit da eseguire sui dati a cadenza regolare.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Ruoli e responsabilità per la governance dei dati: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Responsabili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individua chi è responsabile per la supervisione della qualità dei dati.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Ruoli dei team: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chiaramente i ruoli e le responsabilità di ogni team coinvolto nell’immissione e nella gestione dei dati.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Formazione e onboarding: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Formazione iniziale: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le sessioni di formazione iniziale per i nuovi membri dei team.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Formazione continua: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descrivi il formato delle sessioni di formazione continua e con quale frequenza devono essere tenute.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Privacy e sicurezza dei data: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Conformità: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assicurati che la politica sia conforme alle normative sulla protezione dei dati (ad es. GDPR,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Controlli per l’accesso: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chi può accedere ai dati e i diversi livelli di accesso.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Crittografia dei dati: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specifica l’utilizzo della crittografia per i dati sensibili.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Integrazione e sincronizzazione dei dati: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rFonts w:ascii="Helvetica" w:hAnsi="Helvetica"/>
        </w:rPr>
        <w:t xml:space="preserve">Frequenza di sincronizzazione</w:t>
      </w:r>
      <w:r>
        <w:rPr>
          <w:color w:val="000000" w:themeColor="text1"/>
          <w:b/>
          <w:rFonts w:ascii="Helvetica" w:hAnsi="Helvetica"/>
        </w:rPr>
        <w:t xml:space="preserve">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applicabile solo alle integrazioni CRM personalizzate.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Determina con quale frequenza devono essere sincronizzati i dati.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Il connettore nativo esegue la sincronizzazione automatica a intervalli durante l’intera giornata.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Regole di sincronizzazione: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documenta le regole e le condizioni applicabili alla sincronizzazione dei dati.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Gestione degli errori: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descrivi il processo che l’amministratore di Marketo Engage o del sistema CRM deve seguire per gestire gli errori di sincronizzazione.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Strumenti e risorse: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Strumenti software: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elenca gli strumenti e le risorse utilizzati per la pulizia dei dati.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Materiali di formazione: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fornisci i collegamenti per accedere a materiali di formazione e guide utente.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Feedback e miglioramento continuo: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Meccanismo di feedback: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definisci in che modo i membri del team possono fornire feedback.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Aggiornamento della politica: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pianifica revisioni e aggiornamenti della politica a cadenza regolare.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Esempio di collegamenti pertinenti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Programmi di pulizia dei dati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[inserisci collegamenti pertinenti]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Campagne avanzate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[inserisci collegamenti pertinenti]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Rapporti sulla qualità dei dati nel sistema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[inserisci collegamenti pertinenti]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Strumenti per la gestione dei dati nel sistema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[inserisci collegamenti pertinenti]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